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人力资源社会保障部办公厅</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关于开展人力资源服务机构稳就业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sz w:val="32"/>
          <w:szCs w:val="32"/>
          <w:lang w:eastAsia="zh-CN"/>
        </w:rPr>
      </w:pPr>
      <w:r>
        <w:rPr>
          <w:rFonts w:hint="eastAsia" w:ascii="方正小标宋简体" w:hAnsi="方正小标宋简体" w:eastAsia="方正小标宋简体" w:cs="方正小标宋简体"/>
          <w:sz w:val="44"/>
          <w:szCs w:val="44"/>
          <w:lang w:val="en-US" w:eastAsia="zh-CN"/>
        </w:rPr>
        <w:t>促就业行动的通知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各省、自治区、直辖市及新疆生产建设兵团人力资源社会保障厅（局），各副省级市人力资源社会保障局：</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为贯彻党中央、国务院关于稳就业、保居民就业决策部署，充分发挥人力资源服务机构匹配供需、专业高效优势，人力资源社会保障部决定开展人力资源服务机构稳就业促就业行动。现就有关工作通知如下：</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一、进一步提高政治站位。</w:t>
      </w:r>
      <w:r>
        <w:rPr>
          <w:rFonts w:hint="eastAsia" w:ascii="仿宋_GB2312" w:hAnsi="仿宋_GB2312" w:eastAsia="仿宋_GB2312" w:cs="仿宋_GB2312"/>
          <w:sz w:val="32"/>
          <w:szCs w:val="32"/>
          <w:lang w:val="en-US" w:eastAsia="zh-CN"/>
        </w:rPr>
        <w:t>就业是最大的民生，服务就业是人力资源服务业的立身之本、发展之基。各地要紧紧围绕就业谋划推动人力资源服务业发展，把服务就业的规模和质量作为衡量行业发展成效的首要标准，创新思路和抓手，广泛动员组织各类人力资源服务机构，不断扩大市场化就业服务供给，为就业大局稳定和经济社会发展贡献力量。</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二、大规模开展求职招聘服务。</w:t>
      </w:r>
      <w:r>
        <w:rPr>
          <w:rFonts w:hint="eastAsia" w:ascii="仿宋_GB2312" w:hAnsi="仿宋_GB2312" w:eastAsia="仿宋_GB2312" w:cs="仿宋_GB2312"/>
          <w:sz w:val="32"/>
          <w:szCs w:val="32"/>
          <w:lang w:val="en-US" w:eastAsia="zh-CN"/>
        </w:rPr>
        <w:t>组织各类人力资源服务机构，通过线上线下结合、跨区域协同等方式，针对多样化就业需求开展联合招聘，加大服务力度和招聘频次。鼓励人力资源服务机构积极拓展各类线上求职招聘服务模式，为劳动者精准推送就业信息，打造更优、更便捷的线上招聘服务平台，满足各类求职者就业择业需求。指导人力资源服务机构高效统筹疫情防控和就业服务，有序开展日常招聘和小型化、灵活性专场招聘活动，安全有序举办线下招聘活动。</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sz w:val="32"/>
          <w:szCs w:val="32"/>
          <w:lang w:val="en-US" w:eastAsia="zh-CN"/>
        </w:rPr>
        <w:t>三、全力促进高校毕业生就业。</w:t>
      </w:r>
      <w:r>
        <w:rPr>
          <w:rFonts w:hint="eastAsia" w:ascii="仿宋_GB2312" w:hAnsi="仿宋_GB2312" w:eastAsia="仿宋_GB2312" w:cs="仿宋_GB2312"/>
          <w:sz w:val="32"/>
          <w:szCs w:val="32"/>
          <w:lang w:val="en-US" w:eastAsia="zh-CN"/>
        </w:rPr>
        <w:t>组织国家级人力资源服务产业园、国家级人才市场和人力资源服务机构，广泛收集机关事业单位、各类企业、重大项目等高校毕业生需求计划，集中推荐优质就业岗位。持续举办“国聘行动”、“全国人力资源市场高校毕业生就业服务周”</w:t>
      </w:r>
      <w:r>
        <w:rPr>
          <w:rFonts w:hint="eastAsia" w:ascii="仿宋_GB2312" w:hAnsi="仿宋_GB2312" w:eastAsia="仿宋_GB2312" w:cs="仿宋_GB2312"/>
          <w:color w:val="auto"/>
          <w:kern w:val="2"/>
          <w:sz w:val="32"/>
          <w:szCs w:val="32"/>
          <w:lang w:val="en-US" w:eastAsia="zh-CN" w:bidi="ar-SA"/>
        </w:rPr>
        <w:t>、人力资源服务进校园进企业等专项活动，重点帮扶</w:t>
      </w:r>
      <w:r>
        <w:rPr>
          <w:rFonts w:hint="eastAsia" w:ascii="Times New Roman" w:hAnsi="Times New Roman" w:eastAsia="仿宋_GB2312"/>
          <w:sz w:val="32"/>
          <w:szCs w:val="32"/>
        </w:rPr>
        <w:t>脱贫家庭、低保家庭、零就业家庭</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高校毕业生</w:t>
      </w:r>
      <w:r>
        <w:rPr>
          <w:rFonts w:hint="eastAsia" w:ascii="Times New Roman" w:hAnsi="Times New Roman" w:eastAsia="仿宋_GB2312"/>
          <w:sz w:val="32"/>
          <w:szCs w:val="32"/>
          <w:lang w:val="en-US" w:eastAsia="zh-CN"/>
        </w:rPr>
        <w:t>就业创业</w:t>
      </w:r>
      <w:r>
        <w:rPr>
          <w:rFonts w:hint="eastAsia" w:ascii="仿宋_GB2312" w:hAnsi="仿宋_GB2312" w:eastAsia="仿宋_GB2312" w:cs="仿宋_GB2312"/>
          <w:color w:val="auto"/>
          <w:kern w:val="2"/>
          <w:sz w:val="32"/>
          <w:szCs w:val="32"/>
          <w:lang w:val="en-US" w:eastAsia="zh-CN" w:bidi="ar-SA"/>
        </w:rPr>
        <w:t>。鼓励各类人力资源服务机构开展形式多样的政策宣讲、职业指导、职业能力测评、模拟实训、职业体验等活动，引导高校毕业生树立正确的职业观、就业观和择业观，提高就业能力和职业素质。支持经营状况良好、管理规范、社会责任感强的人力资源服务机构设立见习岗位，申请成为就业见习基地或创业见习基地，</w:t>
      </w:r>
      <w:r>
        <w:rPr>
          <w:rFonts w:hint="eastAsia" w:ascii="Times New Roman" w:hAnsi="Times New Roman" w:eastAsia="仿宋_GB2312"/>
          <w:sz w:val="32"/>
          <w:szCs w:val="32"/>
        </w:rPr>
        <w:t>符合条件的给予相应补贴。</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四、积极助力农民工稳定就业。</w:t>
      </w:r>
      <w:r>
        <w:rPr>
          <w:rFonts w:hint="eastAsia" w:ascii="Times New Roman" w:hAnsi="Times New Roman" w:eastAsia="仿宋_GB2312"/>
          <w:sz w:val="32"/>
          <w:szCs w:val="32"/>
          <w:lang w:val="en-US" w:eastAsia="zh-CN"/>
        </w:rPr>
        <w:t>依托东西部协作、对口支援机制，鼓励和引导各类人力资源服务机构开展专项招聘、供需对接等劳务协作服务，帮助农民工外出务工和就近就业。实施西部和东北地区人力资源市场建设援助计划，增强当地市场化就业服务能力。</w:t>
      </w:r>
      <w:r>
        <w:rPr>
          <w:rFonts w:hint="default" w:ascii="仿宋_GB2312" w:hAnsi="仿宋_GB2312" w:eastAsia="仿宋_GB2312" w:cs="仿宋_GB2312"/>
          <w:sz w:val="32"/>
          <w:szCs w:val="32"/>
          <w:lang w:val="en-US" w:eastAsia="zh-CN"/>
        </w:rPr>
        <w:t>支持人力资源服务机构联合技工院校、职业培训机构和</w:t>
      </w:r>
      <w:r>
        <w:rPr>
          <w:rFonts w:hint="eastAsia" w:ascii="仿宋_GB2312" w:hAnsi="仿宋_GB2312" w:eastAsia="仿宋_GB2312" w:cs="仿宋_GB2312"/>
          <w:sz w:val="32"/>
          <w:szCs w:val="32"/>
          <w:lang w:val="en-US" w:eastAsia="zh-CN"/>
        </w:rPr>
        <w:t>用人单位</w:t>
      </w:r>
      <w:r>
        <w:rPr>
          <w:rFonts w:hint="default" w:ascii="仿宋_GB2312" w:hAnsi="仿宋_GB2312" w:eastAsia="仿宋_GB2312" w:cs="仿宋_GB2312"/>
          <w:sz w:val="32"/>
          <w:szCs w:val="32"/>
          <w:lang w:val="en-US" w:eastAsia="zh-CN"/>
        </w:rPr>
        <w:t>，积极开发优化技能培训</w:t>
      </w:r>
      <w:r>
        <w:rPr>
          <w:rFonts w:hint="eastAsia" w:ascii="仿宋_GB2312" w:hAnsi="仿宋_GB2312" w:eastAsia="仿宋_GB2312" w:cs="仿宋_GB2312"/>
          <w:sz w:val="32"/>
          <w:szCs w:val="32"/>
          <w:lang w:val="en-US" w:eastAsia="zh-CN"/>
        </w:rPr>
        <w:t>产品和</w:t>
      </w:r>
      <w:r>
        <w:rPr>
          <w:rFonts w:hint="default"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lang w:val="en-US" w:eastAsia="zh-CN"/>
        </w:rPr>
        <w:t>向劳动者提供贯穿职业生涯全过程的就业培训和服务，缓解就业结构性矛盾。</w:t>
      </w:r>
      <w:r>
        <w:rPr>
          <w:rFonts w:hint="eastAsia" w:ascii="Times New Roman" w:hAnsi="Times New Roman" w:eastAsia="仿宋_GB2312"/>
          <w:sz w:val="32"/>
          <w:szCs w:val="32"/>
        </w:rPr>
        <w:t>鼓励人力资源服务机构积极参与劳务品牌</w:t>
      </w:r>
      <w:r>
        <w:rPr>
          <w:rFonts w:hint="eastAsia" w:ascii="Times New Roman" w:hAnsi="Times New Roman" w:eastAsia="仿宋_GB2312"/>
          <w:sz w:val="32"/>
          <w:szCs w:val="32"/>
          <w:lang w:val="en-US" w:eastAsia="zh-CN"/>
        </w:rPr>
        <w:t>建设</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培育发展一批吸纳就业能力强、富有地方特色的人力资源服务类劳务品牌。</w:t>
      </w:r>
      <w:r>
        <w:rPr>
          <w:rFonts w:hint="eastAsia" w:ascii="仿宋_GB2312" w:hAnsi="仿宋_GB2312" w:eastAsia="仿宋_GB2312" w:cs="仿宋_GB2312"/>
          <w:sz w:val="32"/>
          <w:szCs w:val="32"/>
          <w:lang w:val="en" w:eastAsia="zh-CN"/>
        </w:rPr>
        <w:t>鼓励各地探索培育县域人力资源服务机构，立足当地开展有特色的劳务输出。</w:t>
      </w:r>
      <w:r>
        <w:rPr>
          <w:rFonts w:hint="eastAsia" w:ascii="Times New Roman" w:hAnsi="Times New Roman" w:eastAsia="仿宋_GB2312"/>
          <w:sz w:val="32"/>
          <w:szCs w:val="32"/>
        </w:rPr>
        <w:t>支持人力资源服务机构与脱贫地区特别是国家乡村振兴重点帮扶县</w:t>
      </w:r>
      <w:r>
        <w:rPr>
          <w:rFonts w:hint="eastAsia" w:ascii="Times New Roman" w:hAnsi="Times New Roman" w:eastAsia="仿宋_GB2312"/>
          <w:sz w:val="32"/>
          <w:szCs w:val="32"/>
          <w:lang w:eastAsia="zh-CN"/>
        </w:rPr>
        <w:t>和易地扶贫搬迁安置区，</w:t>
      </w:r>
      <w:r>
        <w:rPr>
          <w:rFonts w:hint="eastAsia" w:ascii="Times New Roman" w:hAnsi="Times New Roman" w:eastAsia="仿宋_GB2312"/>
          <w:sz w:val="32"/>
          <w:szCs w:val="32"/>
        </w:rPr>
        <w:t>广泛开展对接合作，</w:t>
      </w:r>
      <w:r>
        <w:rPr>
          <w:rFonts w:hint="eastAsia" w:ascii="Times New Roman" w:hAnsi="Times New Roman" w:eastAsia="仿宋_GB2312"/>
          <w:sz w:val="32"/>
          <w:szCs w:val="32"/>
          <w:lang w:val="en-US" w:eastAsia="zh-CN"/>
        </w:rPr>
        <w:t>通过设立</w:t>
      </w:r>
      <w:r>
        <w:rPr>
          <w:rFonts w:hint="eastAsia" w:ascii="Times New Roman" w:hAnsi="Times New Roman" w:eastAsia="仿宋_GB2312"/>
          <w:sz w:val="32"/>
          <w:szCs w:val="32"/>
        </w:rPr>
        <w:t>子公司、分支机构</w:t>
      </w:r>
      <w:r>
        <w:rPr>
          <w:rFonts w:hint="eastAsia" w:ascii="Times New Roman" w:hAnsi="Times New Roman" w:eastAsia="仿宋_GB2312"/>
          <w:sz w:val="32"/>
          <w:szCs w:val="32"/>
          <w:lang w:val="en-US" w:eastAsia="zh-CN"/>
        </w:rPr>
        <w:t>等多种方式</w:t>
      </w:r>
      <w:r>
        <w:rPr>
          <w:rFonts w:hint="eastAsia" w:ascii="Times New Roman" w:hAnsi="Times New Roman" w:eastAsia="仿宋_GB2312"/>
          <w:sz w:val="32"/>
          <w:szCs w:val="32"/>
        </w:rPr>
        <w:t>，形成常态化就业</w:t>
      </w:r>
      <w:r>
        <w:rPr>
          <w:rFonts w:hint="eastAsia" w:ascii="Times New Roman" w:hAnsi="Times New Roman" w:eastAsia="仿宋_GB2312"/>
          <w:sz w:val="32"/>
          <w:szCs w:val="32"/>
          <w:lang w:val="en-US" w:eastAsia="zh-CN"/>
        </w:rPr>
        <w:t>帮扶</w:t>
      </w:r>
      <w:r>
        <w:rPr>
          <w:rFonts w:hint="eastAsia" w:ascii="Times New Roman" w:hAnsi="Times New Roman" w:eastAsia="仿宋_GB2312"/>
          <w:sz w:val="32"/>
          <w:szCs w:val="32"/>
        </w:rPr>
        <w:t>合作机制。</w:t>
      </w:r>
    </w:p>
    <w:p>
      <w:pPr>
        <w:keepNext w:val="0"/>
        <w:keepLines w:val="0"/>
        <w:pageBreakBefore w:val="0"/>
        <w:widowControl w:val="0"/>
        <w:tabs>
          <w:tab w:val="right" w:pos="7586"/>
        </w:tabs>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五、着力保障重点领域用工。</w:t>
      </w:r>
      <w:r>
        <w:rPr>
          <w:rFonts w:hint="eastAsia" w:ascii="仿宋_GB2312" w:hAnsi="仿宋_GB2312" w:eastAsia="仿宋_GB2312" w:cs="仿宋_GB2312"/>
          <w:sz w:val="32"/>
          <w:szCs w:val="32"/>
          <w:lang w:val="en-US" w:eastAsia="zh-CN"/>
        </w:rPr>
        <w:t>组织引导优质人力资源服务机构广泛参与政府部门、社会组织开展的各类援企稳岗活动。聚焦制造业、服务业等重点领域、重点企业、重点项目，搭建人力资源服务供需对接平台，支持人力资源服务机构开展“组团式”“一条龙”“点对点”用工保障服务，</w:t>
      </w:r>
      <w:r>
        <w:rPr>
          <w:rFonts w:hint="default" w:ascii="仿宋_GB2312" w:hAnsi="仿宋_GB2312" w:eastAsia="仿宋_GB2312" w:cs="仿宋_GB2312"/>
          <w:sz w:val="32"/>
          <w:szCs w:val="32"/>
          <w:lang w:val="en-US" w:eastAsia="zh-CN"/>
        </w:rPr>
        <w:t>按规定参与稳岗扩岗、以训稳岗、重点群体专项培训等工作</w:t>
      </w:r>
      <w:r>
        <w:rPr>
          <w:rFonts w:hint="eastAsia" w:ascii="仿宋_GB2312" w:hAnsi="仿宋_GB2312" w:eastAsia="仿宋_GB2312" w:cs="仿宋_GB2312"/>
          <w:sz w:val="32"/>
          <w:szCs w:val="32"/>
          <w:lang w:val="en-US" w:eastAsia="zh-CN"/>
        </w:rPr>
        <w:t>。引导人力资源服务机构与重点行业企业深度合作，共同发展</w:t>
      </w:r>
      <w:r>
        <w:rPr>
          <w:rFonts w:hint="eastAsia" w:ascii="仿宋_GB2312" w:hAnsi="仿宋_GB2312" w:eastAsia="仿宋_GB2312" w:cs="仿宋_GB2312"/>
          <w:sz w:val="32"/>
          <w:szCs w:val="32"/>
        </w:rPr>
        <w:t>面向</w:t>
      </w:r>
      <w:r>
        <w:rPr>
          <w:rFonts w:hint="eastAsia" w:ascii="仿宋_GB2312" w:hAnsi="仿宋_GB2312" w:eastAsia="仿宋_GB2312" w:cs="仿宋_GB2312"/>
          <w:sz w:val="32"/>
          <w:szCs w:val="32"/>
          <w:lang w:val="en-US" w:eastAsia="zh-CN"/>
        </w:rPr>
        <w:t>相近</w:t>
      </w:r>
      <w:r>
        <w:rPr>
          <w:rFonts w:hint="eastAsia" w:ascii="仿宋_GB2312" w:hAnsi="仿宋_GB2312" w:eastAsia="仿宋_GB2312" w:cs="仿宋_GB2312"/>
          <w:sz w:val="32"/>
          <w:szCs w:val="32"/>
        </w:rPr>
        <w:t>领域的</w:t>
      </w:r>
      <w:r>
        <w:rPr>
          <w:rFonts w:hint="eastAsia" w:ascii="仿宋_GB2312" w:hAnsi="仿宋_GB2312" w:eastAsia="仿宋_GB2312" w:cs="仿宋_GB2312"/>
          <w:sz w:val="32"/>
          <w:szCs w:val="32"/>
          <w:lang w:val="en-US" w:eastAsia="zh-CN"/>
        </w:rPr>
        <w:t>人力资源</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技术和产品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针对受疫情影响严重、经营较为困难的地区和行业企业，有组织地开展人力资源服务机构助企纾困活动，提供劳动用工管理、薪酬管理、社保代理等服务，帮助落实各项惠企利民扶持政策。</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六、创新发展灵活用工服务。</w:t>
      </w:r>
      <w:r>
        <w:rPr>
          <w:rFonts w:hint="eastAsia" w:ascii="仿宋_GB2312" w:hAnsi="仿宋_GB2312" w:eastAsia="仿宋_GB2312" w:cs="仿宋_GB2312"/>
          <w:sz w:val="32"/>
          <w:szCs w:val="32"/>
          <w:lang w:val="en-US" w:eastAsia="zh-CN"/>
        </w:rPr>
        <w:t>支持人力资源服务机构在法律法规、政策允许的范围之内，创新运用数字技术，搭建区域间、企业间共享用工调剂平台，对行业相近、岗位相似的企业提供劳动力余缺调剂等服务。鼓励各类人力资源服务机构为餐饮、快递、家政、制造业等劳动密集型企业，提供有针对性的招聘、培训、人力资源服务外包等专业服务，维护好劳动者就业权益和职业安全。支持人力资源服务机构开发适应就业多样化需求的灵活就业平台，广泛发布短工、零工、兼职及自由职业等各类需求信息，拓宽就业渠道，为劳动者居家就业、远程办公、兼职就业创造条件。有条件的地方可选择交通便利、人员求职集中的地点设立零工市场，通过政府购买服务等方式委托符合条件的人力资源服务机构管理运营，组织劳务对接洽谈、政策法律咨询、生活服务等活动。</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七、积极支持人力资源服务机构发展。</w:t>
      </w:r>
      <w:r>
        <w:rPr>
          <w:rFonts w:hint="eastAsia" w:ascii="仿宋_GB2312" w:hAnsi="仿宋_GB2312" w:eastAsia="仿宋_GB2312" w:cs="仿宋_GB2312"/>
          <w:kern w:val="2"/>
          <w:sz w:val="32"/>
          <w:szCs w:val="32"/>
          <w:lang w:val="en-US" w:eastAsia="zh-CN" w:bidi="ar-SA"/>
        </w:rPr>
        <w:t>广泛宣传国家和各地减税降费、稳岗补贴等</w:t>
      </w:r>
      <w:r>
        <w:rPr>
          <w:rFonts w:hint="eastAsia" w:ascii="仿宋_GB2312" w:hAnsi="仿宋_GB2312" w:eastAsia="仿宋_GB2312" w:cs="仿宋_GB2312"/>
          <w:kern w:val="2"/>
          <w:sz w:val="32"/>
          <w:szCs w:val="32"/>
          <w:lang w:val="en-US" w:eastAsia="en-US" w:bidi="ar-SA"/>
        </w:rPr>
        <w:t>稳就业促就业政策，</w:t>
      </w:r>
      <w:r>
        <w:rPr>
          <w:rFonts w:hint="eastAsia" w:ascii="仿宋_GB2312" w:hAnsi="仿宋_GB2312" w:eastAsia="仿宋_GB2312" w:cs="仿宋_GB2312"/>
          <w:kern w:val="2"/>
          <w:sz w:val="32"/>
          <w:szCs w:val="32"/>
          <w:lang w:val="en-US" w:eastAsia="zh-CN" w:bidi="ar-SA"/>
        </w:rPr>
        <w:t>提高</w:t>
      </w:r>
      <w:r>
        <w:rPr>
          <w:rFonts w:hint="eastAsia" w:ascii="仿宋_GB2312" w:hAnsi="仿宋_GB2312" w:eastAsia="仿宋_GB2312" w:cs="仿宋_GB2312"/>
          <w:kern w:val="2"/>
          <w:sz w:val="32"/>
          <w:szCs w:val="32"/>
          <w:lang w:val="en-US" w:eastAsia="en-US" w:bidi="ar-SA"/>
        </w:rPr>
        <w:t>人力资源服务机构</w:t>
      </w:r>
      <w:r>
        <w:rPr>
          <w:rFonts w:hint="eastAsia" w:ascii="仿宋_GB2312" w:hAnsi="仿宋_GB2312" w:eastAsia="仿宋_GB2312" w:cs="仿宋_GB2312"/>
          <w:kern w:val="2"/>
          <w:sz w:val="32"/>
          <w:szCs w:val="32"/>
          <w:lang w:val="en-US" w:eastAsia="zh-CN" w:bidi="ar-SA"/>
        </w:rPr>
        <w:t>的政策知晓度</w:t>
      </w:r>
      <w:r>
        <w:rPr>
          <w:rFonts w:hint="eastAsia" w:ascii="仿宋_GB2312" w:hAnsi="仿宋_GB2312" w:eastAsia="仿宋_GB2312" w:cs="仿宋_GB2312"/>
          <w:kern w:val="2"/>
          <w:sz w:val="32"/>
          <w:szCs w:val="32"/>
          <w:lang w:val="en-US" w:eastAsia="en-US" w:bidi="ar-SA"/>
        </w:rPr>
        <w:t>，</w:t>
      </w:r>
      <w:r>
        <w:rPr>
          <w:rFonts w:hint="eastAsia" w:ascii="仿宋_GB2312" w:hAnsi="仿宋_GB2312" w:eastAsia="仿宋_GB2312" w:cs="仿宋_GB2312"/>
          <w:kern w:val="2"/>
          <w:sz w:val="32"/>
          <w:szCs w:val="32"/>
          <w:lang w:val="en-US" w:eastAsia="zh-CN" w:bidi="ar-SA"/>
        </w:rPr>
        <w:t>加大政策</w:t>
      </w:r>
      <w:r>
        <w:rPr>
          <w:rFonts w:hint="eastAsia" w:ascii="仿宋_GB2312" w:hAnsi="仿宋_GB2312" w:eastAsia="仿宋_GB2312" w:cs="仿宋_GB2312"/>
          <w:kern w:val="2"/>
          <w:sz w:val="32"/>
          <w:szCs w:val="32"/>
          <w:lang w:val="en-US" w:eastAsia="en-US" w:bidi="ar-SA"/>
        </w:rPr>
        <w:t>落实</w:t>
      </w:r>
      <w:r>
        <w:rPr>
          <w:rFonts w:hint="eastAsia" w:ascii="仿宋_GB2312" w:hAnsi="仿宋_GB2312" w:eastAsia="仿宋_GB2312" w:cs="仿宋_GB2312"/>
          <w:kern w:val="2"/>
          <w:sz w:val="32"/>
          <w:szCs w:val="32"/>
          <w:lang w:val="en-US" w:eastAsia="zh-CN" w:bidi="ar-SA"/>
        </w:rPr>
        <w:t>力度</w:t>
      </w:r>
      <w:r>
        <w:rPr>
          <w:rFonts w:hint="eastAsia" w:ascii="仿宋_GB2312" w:hAnsi="仿宋_GB2312" w:eastAsia="仿宋_GB2312" w:cs="仿宋_GB2312"/>
          <w:kern w:val="2"/>
          <w:sz w:val="32"/>
          <w:szCs w:val="32"/>
          <w:lang w:val="en-US" w:eastAsia="en-US" w:bidi="ar-SA"/>
        </w:rPr>
        <w:t>。</w:t>
      </w:r>
      <w:r>
        <w:rPr>
          <w:rFonts w:hint="eastAsia" w:ascii="仿宋_GB2312" w:hAnsi="仿宋_GB2312" w:eastAsia="仿宋_GB2312" w:cs="仿宋_GB2312"/>
          <w:kern w:val="2"/>
          <w:sz w:val="32"/>
          <w:szCs w:val="32"/>
          <w:lang w:val="en-US" w:eastAsia="zh-CN" w:bidi="ar-SA"/>
        </w:rPr>
        <w:t>对开展促就业工作成效突出的人力资源服务机构，按规定落实减免场地租金、给予奖励补贴、选树诚信服务机构等政策措施。对提供求职招聘、保障用工、劳务对接等相关服务的机构，按规定落实就业创业服务补助政策</w:t>
      </w:r>
      <w:r>
        <w:rPr>
          <w:rFonts w:hint="eastAsia" w:ascii="仿宋_GB2312" w:hAnsi="仿宋_GB2312" w:eastAsia="仿宋_GB2312" w:cs="仿宋_GB2312"/>
          <w:color w:val="auto"/>
          <w:kern w:val="2"/>
          <w:sz w:val="32"/>
          <w:szCs w:val="32"/>
          <w:lang w:val="en-US" w:eastAsia="zh-CN" w:bidi="ar-SA"/>
        </w:rPr>
        <w:t>。对符合条件的人力资源服务机构开展劳务品牌从业人员相关技能培训的,按规定纳入补贴性职业技能培训范围。国家级人力资源服务产业园要带头减免房租、物业等收费，做到应降尽降、应免尽免。对受疫情等因素影响出现困难的人力资源服务机构要加强帮扶，及时协调落实相关政策，帮助其尽快渡过难关。</w:t>
      </w:r>
    </w:p>
    <w:p>
      <w:pPr>
        <w:keepNext w:val="0"/>
        <w:keepLines w:val="0"/>
        <w:pageBreakBefore w:val="0"/>
        <w:widowControl w:val="0"/>
        <w:kinsoku/>
        <w:wordWrap/>
        <w:overflowPunct/>
        <w:topLinePunct w:val="0"/>
        <w:autoSpaceDE/>
        <w:autoSpaceDN/>
        <w:bidi w:val="0"/>
        <w:adjustRightInd/>
        <w:snapToGrid/>
        <w:spacing w:line="580" w:lineRule="exact"/>
        <w:ind w:firstLine="636"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八、加强人力资源市场供求信息监测。</w:t>
      </w:r>
      <w:r>
        <w:rPr>
          <w:rFonts w:hint="eastAsia" w:ascii="仿宋_GB2312" w:hAnsi="仿宋_GB2312" w:eastAsia="仿宋_GB2312" w:cs="仿宋_GB2312"/>
          <w:sz w:val="32"/>
          <w:szCs w:val="32"/>
          <w:lang w:val="en-US" w:eastAsia="zh-CN"/>
        </w:rPr>
        <w:t>实施人力资源市场“一线观察”项目，建立健全信息采集渠道，</w:t>
      </w:r>
      <w:r>
        <w:rPr>
          <w:rFonts w:hint="default"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val="en-US" w:eastAsia="zh-CN"/>
        </w:rPr>
        <w:t>定期监测与快速调查相结合的工作机制，及时准确反映就业形势和行业态势。支持各地组织人力资源服务产业园和有代表性的人力资源服务机构，通过抽样调查、形势研判等方式，定期发布人力资源市场供需状况。鼓励具有全国或区域服务网络的人力资源服务机构依托自有求职招聘信息和数据库，开展市场供需、人员薪酬等分析预测，为劳动者求职、用人单位招聘用工提供参考。</w:t>
      </w:r>
    </w:p>
    <w:p>
      <w:pPr>
        <w:keepNext w:val="0"/>
        <w:keepLines w:val="0"/>
        <w:pageBreakBefore w:val="0"/>
        <w:widowControl w:val="0"/>
        <w:kinsoku/>
        <w:wordWrap/>
        <w:overflowPunct/>
        <w:topLinePunct w:val="0"/>
        <w:autoSpaceDE/>
        <w:autoSpaceDN/>
        <w:bidi w:val="0"/>
        <w:adjustRightInd/>
        <w:snapToGrid/>
        <w:spacing w:after="0" w:line="580" w:lineRule="exact"/>
        <w:ind w:firstLine="63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各地要高度重视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精心</w:t>
      </w:r>
      <w:r>
        <w:rPr>
          <w:rFonts w:hint="eastAsia" w:ascii="Times New Roman" w:hAnsi="Times New Roman" w:eastAsia="仿宋_GB2312" w:cs="Times New Roman"/>
          <w:sz w:val="32"/>
          <w:szCs w:val="32"/>
          <w:lang w:val="en-US" w:eastAsia="zh-CN"/>
        </w:rPr>
        <w:t>组织人力资源服务机构稳就业促就业行动，</w:t>
      </w:r>
      <w:r>
        <w:rPr>
          <w:rFonts w:hint="eastAsia" w:ascii="仿宋_GB2312" w:hAnsi="仿宋_GB2312" w:eastAsia="仿宋_GB2312" w:cs="仿宋_GB2312"/>
          <w:kern w:val="2"/>
          <w:sz w:val="32"/>
          <w:szCs w:val="32"/>
          <w:lang w:val="en-US" w:eastAsia="zh-CN" w:bidi="ar-SA"/>
        </w:rPr>
        <w:t>加强统筹调度，</w:t>
      </w:r>
      <w:r>
        <w:rPr>
          <w:rFonts w:hint="eastAsia" w:ascii="Times New Roman" w:hAnsi="Times New Roman" w:eastAsia="仿宋_GB2312" w:cs="Times New Roman"/>
          <w:sz w:val="32"/>
          <w:szCs w:val="32"/>
          <w:lang w:val="en-US" w:eastAsia="zh-CN"/>
        </w:rPr>
        <w:t>充分调动各类</w:t>
      </w:r>
      <w:r>
        <w:rPr>
          <w:rFonts w:hint="eastAsia" w:ascii="仿宋_GB2312" w:hAnsi="仿宋_GB2312" w:eastAsia="仿宋_GB2312" w:cs="仿宋_GB2312"/>
          <w:kern w:val="2"/>
          <w:sz w:val="32"/>
          <w:szCs w:val="32"/>
          <w:lang w:val="en-US" w:eastAsia="zh-CN" w:bidi="ar-SA"/>
        </w:rPr>
        <w:t>人力资源服务机构、行业协会等多方力量，增强稳就业促就业实效性。</w:t>
      </w:r>
      <w:r>
        <w:rPr>
          <w:rFonts w:hint="eastAsia" w:ascii="Times New Roman" w:hAnsi="Times New Roman" w:eastAsia="仿宋_GB2312" w:cs="Times New Roman"/>
          <w:sz w:val="32"/>
          <w:szCs w:val="32"/>
          <w:lang w:val="en-US" w:eastAsia="zh-CN"/>
        </w:rPr>
        <w:t>开展清理整顿人力资源市场秩序专项行动，坚决防止和纠正就业歧视，打击违法违规行为，维护劳动者就业权益。</w:t>
      </w:r>
      <w:r>
        <w:rPr>
          <w:rFonts w:hint="default" w:ascii="Times New Roman" w:hAnsi="Times New Roman" w:eastAsia="仿宋_GB2312" w:cs="Times New Roman"/>
          <w:sz w:val="32"/>
          <w:szCs w:val="32"/>
          <w:lang w:val="en-US" w:eastAsia="zh-CN"/>
        </w:rPr>
        <w:t>及时总结工作中的经验做法，</w:t>
      </w:r>
      <w:r>
        <w:rPr>
          <w:rFonts w:hint="eastAsia" w:ascii="Times New Roman" w:hAnsi="Times New Roman" w:eastAsia="仿宋_GB2312" w:cs="Times New Roman"/>
          <w:sz w:val="32"/>
          <w:szCs w:val="32"/>
          <w:lang w:val="en-US" w:eastAsia="zh-CN"/>
        </w:rPr>
        <w:t>遴选典型案例，</w:t>
      </w:r>
      <w:r>
        <w:rPr>
          <w:rFonts w:hint="default" w:ascii="Times New Roman" w:hAnsi="Times New Roman" w:eastAsia="仿宋_GB2312" w:cs="Times New Roman"/>
          <w:sz w:val="32"/>
          <w:szCs w:val="32"/>
          <w:lang w:val="en-US" w:eastAsia="zh-CN"/>
        </w:rPr>
        <w:t>通过多种形式宣传推广，营造良好社会氛围。</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val="en-US" w:eastAsia="zh-CN"/>
        </w:rPr>
        <w:t>地有关工作</w:t>
      </w:r>
      <w:r>
        <w:rPr>
          <w:rFonts w:hint="eastAsia" w:ascii="Times New Roman" w:hAnsi="Times New Roman" w:eastAsia="仿宋_GB2312" w:cs="Times New Roman"/>
          <w:sz w:val="32"/>
          <w:szCs w:val="32"/>
          <w:lang w:val="en-US" w:eastAsia="zh-CN"/>
        </w:rPr>
        <w:t>情况和成效</w:t>
      </w:r>
      <w:r>
        <w:rPr>
          <w:rFonts w:hint="default" w:ascii="Times New Roman" w:hAnsi="Times New Roman" w:eastAsia="仿宋_GB2312" w:cs="Times New Roman"/>
          <w:sz w:val="32"/>
          <w:szCs w:val="32"/>
          <w:lang w:eastAsia="zh-CN"/>
        </w:rPr>
        <w:t>，请于</w:t>
      </w:r>
      <w:r>
        <w:rPr>
          <w:rFonts w:hint="default" w:ascii="Times New Roman" w:hAnsi="Times New Roman" w:eastAsia="仿宋_GB2312" w:cs="Times New Roman"/>
          <w:sz w:val="32"/>
          <w:szCs w:val="32"/>
          <w:lang w:val="en-US" w:eastAsia="zh-CN"/>
        </w:rPr>
        <w:t>12月31日前报送人力资源社会保障部流动管理司。</w:t>
      </w:r>
    </w:p>
    <w:p>
      <w:pPr>
        <w:keepNext w:val="0"/>
        <w:keepLines w:val="0"/>
        <w:pageBreakBefore w:val="0"/>
        <w:widowControl w:val="0"/>
        <w:kinsoku/>
        <w:wordWrap/>
        <w:overflowPunct/>
        <w:topLinePunct w:val="0"/>
        <w:autoSpaceDE/>
        <w:autoSpaceDN/>
        <w:bidi w:val="0"/>
        <w:adjustRightInd/>
        <w:snapToGrid/>
        <w:spacing w:after="0" w:line="580" w:lineRule="exact"/>
        <w:ind w:firstLine="636"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ind w:firstLine="63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人：马文静  类成普</w:t>
      </w:r>
    </w:p>
    <w:p>
      <w:pPr>
        <w:keepNext w:val="0"/>
        <w:keepLines w:val="0"/>
        <w:pageBreakBefore w:val="0"/>
        <w:widowControl w:val="0"/>
        <w:kinsoku/>
        <w:wordWrap/>
        <w:overflowPunct/>
        <w:topLinePunct w:val="0"/>
        <w:autoSpaceDE/>
        <w:autoSpaceDN/>
        <w:bidi w:val="0"/>
        <w:adjustRightInd/>
        <w:snapToGrid/>
        <w:spacing w:after="0" w:line="580" w:lineRule="exact"/>
        <w:ind w:firstLine="636"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联系电话：010-84208252/84207244（传）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36" w:firstLineChars="200"/>
        <w:jc w:val="both"/>
        <w:textAlignment w:val="auto"/>
        <w:rPr>
          <w:rFonts w:hint="eastAsia" w:ascii="仿宋_GB2312" w:hAnsi="仿宋_GB2312" w:eastAsia="仿宋_GB2312" w:cs="仿宋_GB2312"/>
          <w:i w:val="0"/>
          <w:caps w:val="0"/>
          <w:color w:val="333333"/>
          <w:spacing w:val="0"/>
          <w:sz w:val="32"/>
          <w:szCs w:val="32"/>
          <w:u w:val="none"/>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36" w:firstLineChars="200"/>
        <w:jc w:val="both"/>
        <w:textAlignment w:val="auto"/>
        <w:rPr>
          <w:rFonts w:hint="eastAsia" w:ascii="仿宋_GB2312" w:hAnsi="仿宋_GB2312" w:eastAsia="仿宋_GB2312" w:cs="仿宋_GB2312"/>
          <w:i w:val="0"/>
          <w:caps w:val="0"/>
          <w:color w:val="333333"/>
          <w:spacing w:val="0"/>
          <w:sz w:val="32"/>
          <w:szCs w:val="32"/>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ind w:leftChars="13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人力资源社会保障部办公厅</w:t>
      </w:r>
    </w:p>
    <w:p>
      <w:pPr>
        <w:keepNext w:val="0"/>
        <w:keepLines w:val="0"/>
        <w:pageBreakBefore w:val="0"/>
        <w:widowControl w:val="0"/>
        <w:kinsoku/>
        <w:wordWrap/>
        <w:overflowPunct/>
        <w:topLinePunct w:val="0"/>
        <w:autoSpaceDE/>
        <w:autoSpaceDN/>
        <w:bidi w:val="0"/>
        <w:adjustRightInd/>
        <w:snapToGrid/>
        <w:spacing w:after="0" w:line="580" w:lineRule="exact"/>
        <w:ind w:leftChars="1300"/>
        <w:jc w:val="center"/>
        <w:textAlignment w:val="auto"/>
        <w:rPr>
          <w:rFonts w:hint="eastAsia" w:ascii="Times New Roman" w:hAnsi="Times New Roman" w:eastAsia="仿宋_GB2312" w:cs="Times New Roman"/>
          <w:sz w:val="32"/>
          <w:szCs w:val="32"/>
          <w:lang w:val="en-US" w:eastAsia="zh-CN"/>
        </w:rPr>
        <w:sectPr>
          <w:footerReference r:id="rId7" w:type="first"/>
          <w:headerReference r:id="rId3" w:type="default"/>
          <w:footerReference r:id="rId5" w:type="default"/>
          <w:headerReference r:id="rId4" w:type="even"/>
          <w:footerReference r:id="rId6" w:type="even"/>
          <w:pgSz w:w="11906" w:h="16838"/>
          <w:pgMar w:top="2098" w:right="1418" w:bottom="1588" w:left="1588" w:header="851" w:footer="1361" w:gutter="0"/>
          <w:pgBorders>
            <w:top w:val="none" w:sz="0" w:space="0"/>
            <w:left w:val="none" w:sz="0" w:space="0"/>
            <w:bottom w:val="none" w:sz="0" w:space="0"/>
            <w:right w:val="none" w:sz="0" w:space="0"/>
          </w:pgBorders>
          <w:pgNumType w:fmt="numberInDash"/>
          <w:cols w:space="720" w:num="1"/>
          <w:titlePg/>
          <w:docGrid w:type="linesAndChars" w:linePitch="596" w:charSpace="-439"/>
        </w:sectPr>
      </w:pPr>
      <w:r>
        <w:rPr>
          <w:rFonts w:hint="eastAsia" w:ascii="仿宋_GB2312" w:hAnsi="仿宋_GB2312" w:eastAsia="仿宋_GB2312" w:cs="仿宋_GB2312"/>
          <w:sz w:val="32"/>
          <w:szCs w:val="32"/>
          <w:lang w:val="en-US" w:eastAsia="zh-CN"/>
        </w:rPr>
        <w:t>2022年6月</w:t>
      </w:r>
      <w:r>
        <w:rPr>
          <w:rFonts w:hint="eastAsia" w:ascii="仿宋_GB2312" w:hAnsi="仿宋_GB2312" w:eastAsia="仿宋_GB2312" w:cs="仿宋_GB2312"/>
          <w:sz w:val="32"/>
          <w:szCs w:val="32"/>
          <w:lang w:val="en" w:eastAsia="zh-CN"/>
        </w:rPr>
        <w:t>30</w:t>
      </w:r>
      <w:r>
        <w:rPr>
          <w:rFonts w:hint="eastAsia" w:ascii="仿宋_GB2312" w:hAnsi="仿宋_GB2312" w:eastAsia="仿宋_GB2312" w:cs="仿宋_GB2312"/>
          <w:sz w:val="32"/>
          <w:szCs w:val="32"/>
          <w:lang w:val="en-US" w:eastAsia="zh-CN"/>
        </w:rPr>
        <w:t>日</w:t>
      </w:r>
    </w:p>
    <w:p>
      <w:pPr>
        <w:spacing w:line="596" w:lineRule="exact"/>
        <w:textAlignment w:val="top"/>
        <w:rPr>
          <w:rFonts w:hint="eastAsia" w:ascii="黑体" w:hAnsi="黑体" w:eastAsia="黑体" w:cs="黑体"/>
          <w:spacing w:val="-6"/>
          <w:lang w:val="en-US" w:eastAsia="zh-CN"/>
        </w:rPr>
      </w:pPr>
      <w:r>
        <w:rPr>
          <w:rFonts w:hint="eastAsia" w:ascii="仿宋_GB2312" w:hAnsi="仿宋_GB2312" w:eastAsia="仿宋_GB2312" w:cs="仿宋_GB2312"/>
        </w:rPr>
        <mc:AlternateContent>
          <mc:Choice Requires="wps">
            <w:drawing>
              <wp:anchor distT="0" distB="0" distL="114300" distR="114300" simplePos="0" relativeHeight="251665408" behindDoc="0" locked="1" layoutInCell="1" hidden="1" allowOverlap="1">
                <wp:simplePos x="0" y="0"/>
                <wp:positionH relativeFrom="margin">
                  <wp:posOffset>201930</wp:posOffset>
                </wp:positionH>
                <wp:positionV relativeFrom="page">
                  <wp:posOffset>8919210</wp:posOffset>
                </wp:positionV>
                <wp:extent cx="5200650" cy="360680"/>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wps:txbx>
                      <wps:bodyPr lIns="0" tIns="0" rIns="0" bIns="0" upright="1"/>
                    </wps:wsp>
                  </a:graphicData>
                </a:graphic>
              </wp:anchor>
            </w:drawing>
          </mc:Choice>
          <mc:Fallback>
            <w:pict>
              <v:shape id="_x0000_s1026" o:spid="_x0000_s1026" o:spt="202" type="#_x0000_t202" style="position:absolute;left:0pt;margin-left:15.9pt;margin-top:702.3pt;height:28.4pt;width:409.5pt;mso-position-horizontal-relative:margin;mso-position-vertical-relative:page;mso-wrap-distance-bottom:0pt;mso-wrap-distance-top:0pt;visibility:hidden;z-index:251665408;mso-width-relative:page;mso-height-relative:page;" filled="f" stroked="f" coordsize="21600,21600" o:gfxdata="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JDfANcAAAAM&#10;AQAADwAAAAAAAAABACAAAAAiAAAAZHJzL2Rvd25yZXYueG1sUEsBAhQAFAAAAAgAh07iQAhWq72r&#10;AQAAOAMAAA4AAAAAAAAAAQAgAAAAJgEAAGRycy9lMm9Eb2MueG1sUEsFBgAAAAAGAAYAWQEAAEMF&#10;AAAAAA==&#10;">
                <v:path/>
                <v:fill on="f" focussize="0,0"/>
                <v:stroke on="f"/>
                <v:imagedata o:title=""/>
                <o:lock v:ext="edit" aspectratio="f"/>
                <v:textbox inset="0mm,0mm,0mm,0mm">
                  <w:txbxContent>
                    <w:p>
                      <w:pPr>
                        <w:spacing w:line="590" w:lineRule="exact"/>
                        <w:ind w:left="981" w:hanging="981"/>
                        <w:rPr>
                          <w:rFonts w:hint="eastAsia" w:ascii="仿宋_GB2312"/>
                          <w:szCs w:val="32"/>
                        </w:rPr>
                      </w:pPr>
                      <w:r>
                        <w:rPr>
                          <w:rFonts w:hint="eastAsia" w:ascii="仿宋_GB2312"/>
                          <w:sz w:val="28"/>
                          <w:szCs w:val="28"/>
                        </w:rPr>
                        <w:t>抄送：</w:t>
                      </w:r>
                      <w:r>
                        <w:rPr>
                          <w:rFonts w:hint="eastAsia" w:ascii="仿宋_GB2312"/>
                          <w:szCs w:val="32"/>
                        </w:rPr>
                        <w:t>。</w:t>
                      </w:r>
                    </w:p>
                    <w:p>
                      <w:pPr>
                        <w:spacing w:line="560" w:lineRule="exact"/>
                        <w:ind w:left="964" w:hanging="964"/>
                        <w:rPr>
                          <w:rFonts w:hint="eastAsia" w:ascii="仿宋_GB2312"/>
                        </w:rPr>
                      </w:pPr>
                    </w:p>
                    <w:p>
                      <w:pPr>
                        <w:spacing w:line="560" w:lineRule="exact"/>
                        <w:ind w:left="964" w:hanging="964"/>
                        <w:rPr>
                          <w:rFonts w:ascii="仿宋_GB2312"/>
                        </w:rPr>
                      </w:pPr>
                    </w:p>
                  </w:txbxContent>
                </v:textbox>
                <w10:wrap type="topAndBottom"/>
                <w10:anchorlock/>
              </v:shape>
            </w:pict>
          </mc:Fallback>
        </mc:AlternateContent>
      </w:r>
      <w:r>
        <w:rPr>
          <w:rFonts w:hint="eastAsia" w:ascii="仿宋_GB2312" w:hAnsi="仿宋_GB2312" w:eastAsia="仿宋_GB2312" w:cs="仿宋_GB2312"/>
          <w:lang w:eastAsia="zh-CN"/>
        </w:rPr>
        <w:t>附件</w:t>
      </w:r>
    </w:p>
    <w:tbl>
      <w:tblPr>
        <w:tblStyle w:val="6"/>
        <w:tblpPr w:leftFromText="180" w:rightFromText="180" w:vertAnchor="text" w:horzAnchor="page" w:tblpX="1565" w:tblpY="1252"/>
        <w:tblOverlap w:val="never"/>
        <w:tblW w:w="13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6"/>
        <w:gridCol w:w="2148"/>
        <w:gridCol w:w="1825"/>
        <w:gridCol w:w="4550"/>
        <w:gridCol w:w="2237"/>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3178" w:type="dxa"/>
            <w:gridSpan w:val="6"/>
            <w:tcBorders>
              <w:left w:val="single" w:color="5A5A5A" w:sz="4" w:space="0"/>
              <w:bottom w:val="single" w:color="FFFFFF" w:sz="4" w:space="0"/>
              <w:right w:val="single" w:color="5A5A5A" w:sz="4" w:space="0"/>
            </w:tcBorders>
            <w:shd w:val="clear" w:color="auto" w:fill="5A5A5A"/>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FFFFFF"/>
                <w:sz w:val="32"/>
                <w:szCs w:val="32"/>
                <w:u w:val="none"/>
              </w:rPr>
            </w:pPr>
            <w:r>
              <w:rPr>
                <w:rFonts w:hint="eastAsia" w:ascii="方正小标宋简体" w:hAnsi="方正小标宋简体" w:eastAsia="方正小标宋简体" w:cs="方正小标宋简体"/>
                <w:i w:val="0"/>
                <w:color w:val="FFFFFF"/>
                <w:kern w:val="0"/>
                <w:sz w:val="32"/>
                <w:szCs w:val="32"/>
                <w:u w:val="none"/>
                <w:lang w:val="en-US" w:eastAsia="zh-CN" w:bidi="ar"/>
              </w:rPr>
              <w:t xml:space="preserve"> 人力资源服务机构稳就业促就业工作情况汇总表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1136" w:type="dxa"/>
            <w:tcBorders>
              <w:left w:val="single" w:color="5A5A5A" w:sz="4" w:space="0"/>
              <w:bottom w:val="single" w:color="000000" w:sz="4" w:space="0"/>
              <w:right w:val="single" w:color="E6E6E6" w:sz="4" w:space="0"/>
            </w:tcBorders>
            <w:shd w:val="clear" w:color="auto" w:fill="FFFFFF"/>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填报单位：</w:t>
            </w:r>
          </w:p>
        </w:tc>
        <w:tc>
          <w:tcPr>
            <w:tcW w:w="2148" w:type="dxa"/>
            <w:tcBorders>
              <w:left w:val="single" w:color="E6E6E6" w:sz="4" w:space="0"/>
              <w:bottom w:val="single" w:color="000000" w:sz="4" w:space="0"/>
              <w:right w:val="single" w:color="E6E6E6" w:sz="4" w:space="0"/>
            </w:tcBorders>
            <w:shd w:val="clear" w:color="auto" w:fill="FFFFFF"/>
            <w:vAlign w:val="center"/>
          </w:tcPr>
          <w:p>
            <w:pPr>
              <w:rPr>
                <w:rFonts w:hint="eastAsia" w:ascii="宋体" w:hAnsi="宋体" w:eastAsia="宋体" w:cs="宋体"/>
                <w:i w:val="0"/>
                <w:color w:val="000000"/>
                <w:sz w:val="24"/>
                <w:szCs w:val="24"/>
                <w:u w:val="none"/>
              </w:rPr>
            </w:pPr>
          </w:p>
        </w:tc>
        <w:tc>
          <w:tcPr>
            <w:tcW w:w="1825" w:type="dxa"/>
            <w:tcBorders>
              <w:left w:val="single" w:color="E6E6E6" w:sz="4" w:space="0"/>
              <w:bottom w:val="single" w:color="000000" w:sz="4" w:space="0"/>
              <w:right w:val="single" w:color="E6E6E6" w:sz="4" w:space="0"/>
            </w:tcBorders>
            <w:shd w:val="clear" w:color="auto" w:fill="FFFFFF"/>
            <w:vAlign w:val="center"/>
          </w:tcPr>
          <w:p>
            <w:pPr>
              <w:rPr>
                <w:rFonts w:hint="eastAsia" w:ascii="宋体" w:hAnsi="宋体" w:eastAsia="宋体" w:cs="宋体"/>
                <w:i w:val="0"/>
                <w:color w:val="000000"/>
                <w:sz w:val="24"/>
                <w:szCs w:val="24"/>
                <w:u w:val="none"/>
              </w:rPr>
            </w:pPr>
          </w:p>
        </w:tc>
        <w:tc>
          <w:tcPr>
            <w:tcW w:w="4550" w:type="dxa"/>
            <w:tcBorders>
              <w:left w:val="single" w:color="E6E6E6" w:sz="4" w:space="0"/>
              <w:bottom w:val="single" w:color="000000" w:sz="4" w:space="0"/>
              <w:right w:val="single" w:color="E6E6E6" w:sz="4" w:space="0"/>
            </w:tcBorders>
            <w:shd w:val="clear" w:color="auto" w:fill="FFFFFF"/>
            <w:vAlign w:val="center"/>
          </w:tcPr>
          <w:p>
            <w:pPr>
              <w:rPr>
                <w:rFonts w:hint="eastAsia" w:ascii="宋体" w:hAnsi="宋体" w:eastAsia="宋体" w:cs="宋体"/>
                <w:i w:val="0"/>
                <w:color w:val="000000"/>
                <w:sz w:val="24"/>
                <w:szCs w:val="24"/>
                <w:u w:val="none"/>
              </w:rPr>
            </w:pPr>
          </w:p>
        </w:tc>
        <w:tc>
          <w:tcPr>
            <w:tcW w:w="2237" w:type="dxa"/>
            <w:tcBorders>
              <w:left w:val="single" w:color="E6E6E6" w:sz="4" w:space="0"/>
              <w:bottom w:val="single" w:color="000000" w:sz="4" w:space="0"/>
              <w:right w:val="single" w:color="E6E6E6" w:sz="4" w:space="0"/>
            </w:tcBorders>
            <w:shd w:val="clear" w:color="auto" w:fill="FFFFFF"/>
            <w:vAlign w:val="center"/>
          </w:tcPr>
          <w:p>
            <w:pPr>
              <w:ind w:firstLine="240" w:firstLineChars="100"/>
              <w:rPr>
                <w:rFonts w:hint="eastAsia" w:ascii="宋体" w:hAnsi="宋体" w:eastAsia="宋体" w:cs="宋体"/>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填报日期：</w:t>
            </w:r>
          </w:p>
        </w:tc>
        <w:tc>
          <w:tcPr>
            <w:tcW w:w="1282" w:type="dxa"/>
            <w:tcBorders>
              <w:left w:val="single" w:color="E6E6E6" w:sz="4" w:space="0"/>
              <w:bottom w:val="single" w:color="000000" w:sz="4" w:space="0"/>
              <w:right w:val="single" w:color="5A5A5A" w:sz="4" w:space="0"/>
            </w:tcBorders>
            <w:shd w:val="clear" w:color="auto" w:fill="FFFFFF"/>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36"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ascii="方正仿宋_GB2312" w:hAnsi="方正仿宋_GB2312" w:eastAsia="方正仿宋_GB2312" w:cs="方正仿宋_GB2312"/>
                <w:b/>
                <w:i w:val="0"/>
                <w:color w:val="000000"/>
                <w:sz w:val="24"/>
                <w:szCs w:val="24"/>
                <w:u w:val="none"/>
              </w:rPr>
            </w:pPr>
            <w:r>
              <w:rPr>
                <w:rFonts w:hint="default" w:ascii="方正仿宋_GB2312" w:hAnsi="方正仿宋_GB2312" w:eastAsia="方正仿宋_GB2312" w:cs="方正仿宋_GB2312"/>
                <w:b/>
                <w:i w:val="0"/>
                <w:color w:val="000000"/>
                <w:kern w:val="0"/>
                <w:sz w:val="24"/>
                <w:szCs w:val="24"/>
                <w:u w:val="none"/>
                <w:lang w:val="en-US" w:eastAsia="zh-CN" w:bidi="ar"/>
              </w:rPr>
              <w:t>序号</w:t>
            </w:r>
          </w:p>
        </w:tc>
        <w:tc>
          <w:tcPr>
            <w:tcW w:w="2148"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sz w:val="24"/>
                <w:szCs w:val="24"/>
                <w:u w:val="none"/>
              </w:rPr>
            </w:pPr>
            <w:r>
              <w:rPr>
                <w:rFonts w:hint="default" w:ascii="方正仿宋_GB2312" w:hAnsi="方正仿宋_GB2312" w:eastAsia="方正仿宋_GB2312" w:cs="方正仿宋_GB2312"/>
                <w:b/>
                <w:i w:val="0"/>
                <w:color w:val="000000"/>
                <w:kern w:val="0"/>
                <w:sz w:val="24"/>
                <w:szCs w:val="24"/>
                <w:u w:val="none"/>
                <w:lang w:val="en-US" w:eastAsia="zh-CN" w:bidi="ar"/>
              </w:rPr>
              <w:t>服务企业数（家次）</w:t>
            </w:r>
          </w:p>
        </w:tc>
        <w:tc>
          <w:tcPr>
            <w:tcW w:w="1825"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sz w:val="24"/>
                <w:szCs w:val="24"/>
                <w:u w:val="none"/>
              </w:rPr>
            </w:pPr>
            <w:r>
              <w:rPr>
                <w:rFonts w:hint="default" w:ascii="方正仿宋_GB2312" w:hAnsi="方正仿宋_GB2312" w:eastAsia="方正仿宋_GB2312" w:cs="方正仿宋_GB2312"/>
                <w:b/>
                <w:i w:val="0"/>
                <w:color w:val="000000"/>
                <w:kern w:val="0"/>
                <w:sz w:val="24"/>
                <w:szCs w:val="24"/>
                <w:u w:val="none"/>
                <w:lang w:val="en-US" w:eastAsia="zh-CN" w:bidi="ar"/>
              </w:rPr>
              <w:t>服务劳动者人次</w:t>
            </w:r>
          </w:p>
        </w:tc>
        <w:tc>
          <w:tcPr>
            <w:tcW w:w="4550" w:type="dxa"/>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sz w:val="24"/>
                <w:szCs w:val="24"/>
                <w:u w:val="none"/>
              </w:rPr>
            </w:pPr>
            <w:r>
              <w:rPr>
                <w:rFonts w:hint="eastAsia" w:ascii="方正仿宋_GB2312" w:hAnsi="方正仿宋_GB2312" w:eastAsia="方正仿宋_GB2312" w:cs="方正仿宋_GB2312"/>
                <w:b/>
                <w:i w:val="0"/>
                <w:color w:val="000000"/>
                <w:kern w:val="0"/>
                <w:sz w:val="24"/>
                <w:szCs w:val="24"/>
                <w:u w:val="none"/>
                <w:lang w:val="en-US" w:eastAsia="zh-CN" w:bidi="ar"/>
              </w:rPr>
              <w:t>推荐</w:t>
            </w:r>
            <w:r>
              <w:rPr>
                <w:rFonts w:hint="default" w:ascii="方正仿宋_GB2312" w:hAnsi="方正仿宋_GB2312" w:eastAsia="方正仿宋_GB2312" w:cs="方正仿宋_GB2312"/>
                <w:b/>
                <w:i w:val="0"/>
                <w:color w:val="000000"/>
                <w:kern w:val="0"/>
                <w:sz w:val="24"/>
                <w:szCs w:val="24"/>
                <w:u w:val="none"/>
                <w:lang w:val="en-US" w:eastAsia="zh-CN" w:bidi="ar"/>
              </w:rPr>
              <w:t>高校毕业生实现就业、择业、流动人次</w:t>
            </w: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sz w:val="24"/>
                <w:szCs w:val="24"/>
                <w:u w:val="none"/>
              </w:rPr>
            </w:pPr>
            <w:r>
              <w:rPr>
                <w:rFonts w:hint="default" w:ascii="方正仿宋_GB2312" w:hAnsi="方正仿宋_GB2312" w:eastAsia="方正仿宋_GB2312" w:cs="方正仿宋_GB2312"/>
                <w:b/>
                <w:i w:val="0"/>
                <w:color w:val="000000"/>
                <w:kern w:val="0"/>
                <w:sz w:val="24"/>
                <w:szCs w:val="24"/>
                <w:u w:val="none"/>
                <w:lang w:val="en-US" w:eastAsia="zh-CN" w:bidi="ar"/>
              </w:rPr>
              <w:t>发布岗位信息数（条）</w:t>
            </w:r>
          </w:p>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b/>
                <w:i w:val="0"/>
                <w:color w:val="000000"/>
                <w:kern w:val="0"/>
                <w:sz w:val="24"/>
                <w:szCs w:val="24"/>
                <w:u w:val="none"/>
                <w:lang w:val="en-US" w:eastAsia="zh-CN" w:bidi="ar"/>
              </w:rPr>
            </w:pPr>
            <w:r>
              <w:rPr>
                <w:rFonts w:hint="eastAsia" w:ascii="方正仿宋_GB2312" w:hAnsi="方正仿宋_GB2312" w:eastAsia="方正仿宋_GB2312" w:cs="方正仿宋_GB2312"/>
                <w:b/>
                <w:i w:val="0"/>
                <w:color w:val="000000"/>
                <w:kern w:val="0"/>
                <w:sz w:val="24"/>
                <w:szCs w:val="24"/>
                <w:u w:val="none"/>
                <w:lang w:val="en-US" w:eastAsia="zh-CN" w:bidi="ar"/>
              </w:rPr>
              <w:t>1</w:t>
            </w:r>
          </w:p>
        </w:tc>
        <w:tc>
          <w:tcPr>
            <w:tcW w:w="2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2312" w:hAnsi="方正仿宋_GB2312" w:eastAsia="方正仿宋_GB2312" w:cs="方正仿宋_GB2312"/>
                <w:i w:val="0"/>
                <w:color w:val="000000"/>
                <w:sz w:val="24"/>
                <w:szCs w:val="24"/>
                <w:u w:val="none"/>
              </w:rPr>
            </w:pPr>
          </w:p>
        </w:tc>
        <w:tc>
          <w:tcPr>
            <w:tcW w:w="1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2312" w:hAnsi="方正仿宋_GB2312" w:eastAsia="方正仿宋_GB2312" w:cs="方正仿宋_GB2312"/>
                <w:i w:val="0"/>
                <w:color w:val="000000"/>
                <w:sz w:val="24"/>
                <w:szCs w:val="24"/>
                <w:u w:val="none"/>
              </w:rPr>
            </w:pPr>
          </w:p>
        </w:tc>
        <w:tc>
          <w:tcPr>
            <w:tcW w:w="4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2312" w:hAnsi="方正仿宋_GB2312" w:eastAsia="方正仿宋_GB2312" w:cs="方正仿宋_GB2312"/>
                <w:i w:val="0"/>
                <w:color w:val="000000"/>
                <w:sz w:val="24"/>
                <w:szCs w:val="24"/>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方正仿宋_GB2312" w:hAnsi="方正仿宋_GB2312" w:eastAsia="方正仿宋_GB2312" w:cs="方正仿宋_GB2312"/>
                <w:i w:val="0"/>
                <w:color w:val="000000"/>
                <w:sz w:val="24"/>
                <w:szCs w:val="24"/>
                <w:u w:val="none"/>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仿宋_GB2312">
    <w:altName w:val="仿宋_GB2312"/>
    <w:panose1 w:val="00000000000000000000"/>
    <w:charset w:val="00"/>
    <w:family w:val="auto"/>
    <w:pitch w:val="default"/>
    <w:sig w:usb0="00000000" w:usb1="00000000" w:usb2="00000000"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832EB"/>
    <w:rsid w:val="2EE83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2022-08-09T11:08:00Z</dcterms:created>
  <dc:creator>hjy</dc:creator>
  <cp:lastModifiedBy>hjy</cp:lastModifiedBy>
  <dcterms:modified xsi:type="dcterms:W3CDTF">2022-08-09T11:09:28Z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